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101"/>
        <w:gridCol w:w="156"/>
        <w:gridCol w:w="1058"/>
        <w:gridCol w:w="1939"/>
        <w:gridCol w:w="3101"/>
      </w:tblGrid>
      <w:tr w:rsidR="0080499D" w14:paraId="19F91CA9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9A1C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80499D" w14:paraId="4F98618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D35DF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80499D" w14:paraId="23A6FA1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AC98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80499D" w14:paraId="3A4B3634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3684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14:paraId="033C45B7" w14:textId="77777777" w:rsidR="0080499D" w:rsidRDefault="0080499D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0499D" w14:paraId="4168116A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2F9F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14:paraId="150EE997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823FF06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</w:t>
            </w:r>
          </w:p>
          <w:p w14:paraId="17FB79BA" w14:textId="77777777" w:rsidR="001453BD" w:rsidRDefault="001453BD" w:rsidP="001453BD">
            <w:pPr>
              <w:jc w:val="right"/>
            </w:pPr>
            <w:r>
              <w:rPr>
                <w:b/>
                <w:bCs/>
              </w:rPr>
              <w:t>искусства Ануфриева Н.И.</w:t>
            </w:r>
          </w:p>
          <w:p w14:paraId="25798174" w14:textId="77777777" w:rsidR="0080499D" w:rsidRDefault="0080499D">
            <w:pPr>
              <w:widowControl w:val="0"/>
              <w:spacing w:line="360" w:lineRule="auto"/>
              <w:ind w:right="27"/>
              <w:jc w:val="right"/>
              <w:rPr>
                <w:b/>
                <w:bCs/>
              </w:rPr>
            </w:pPr>
          </w:p>
        </w:tc>
      </w:tr>
      <w:tr w:rsidR="0080499D" w14:paraId="137EB1FE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0D3EB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6FC8B858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2C05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128658FA" w14:textId="77777777">
        <w:trPr>
          <w:trHeight w:val="8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503FB" w14:textId="77777777" w:rsidR="0080499D" w:rsidRDefault="00804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499D" w14:paraId="5211B9FF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0296B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80499D" w14:paraId="6CF89FC1" w14:textId="77777777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5A76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006C8" w14:textId="77777777" w:rsidR="0080499D" w:rsidRDefault="0080499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FD0D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F8C0CD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AC9F" w14:textId="7A112082" w:rsidR="0080499D" w:rsidRDefault="009130E3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ФОЛЬКЛОРНЫЙ КАЗАЧИЙ АНСАМБЛЬ</w:t>
            </w:r>
          </w:p>
        </w:tc>
      </w:tr>
      <w:tr w:rsidR="0080499D" w14:paraId="07DF12ED" w14:textId="77777777">
        <w:trPr>
          <w:trHeight w:val="56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4FC47" w14:textId="66135176" w:rsidR="0080499D" w:rsidRDefault="009130E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  <w:t xml:space="preserve"> </w:t>
            </w:r>
          </w:p>
        </w:tc>
      </w:tr>
      <w:tr w:rsidR="0080499D" w14:paraId="720BE16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5CD91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80499D" w14:paraId="16525905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23ECC" w14:textId="77777777" w:rsidR="0080499D" w:rsidRDefault="00F54D50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FFBFD" w14:textId="004F86F0" w:rsidR="0080499D" w:rsidRDefault="009130E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95DA4">
              <w:rPr>
                <w:b/>
                <w:bCs/>
              </w:rPr>
              <w:t>51.03.02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EC5B0" w14:textId="4534D0B9" w:rsid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 w:rsidRPr="00595D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Народная художественная культура</w:t>
            </w:r>
            <w:r>
              <w:rPr>
                <w:b/>
                <w:bCs/>
              </w:rPr>
              <w:t>»</w:t>
            </w:r>
          </w:p>
          <w:p w14:paraId="3832F79F" w14:textId="5A924A7C" w:rsidR="0080499D" w:rsidRDefault="0080499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86E6C81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C884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25688" w14:textId="7B1ADE80" w:rsidR="0080499D" w:rsidRP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Руководство казачьим творческим коллективом</w:t>
            </w:r>
            <w:r>
              <w:rPr>
                <w:b/>
                <w:bCs/>
              </w:rPr>
              <w:t>»</w:t>
            </w:r>
          </w:p>
        </w:tc>
      </w:tr>
      <w:tr w:rsidR="0080499D" w14:paraId="614E8F6F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8D8B" w14:textId="77777777" w:rsidR="0080499D" w:rsidRDefault="00F54D50">
            <w:pPr>
              <w:spacing w:line="360" w:lineRule="auto"/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3F0ED" w14:textId="647C8A52" w:rsidR="0080499D" w:rsidRDefault="0080499D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499D" w14:paraId="1A5FC558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7F46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741F" w14:textId="77777777" w:rsidR="0080499D" w:rsidRDefault="00F54D50">
            <w:pPr>
              <w:spacing w:line="360" w:lineRule="auto"/>
            </w:pPr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14:paraId="67229303" w14:textId="77777777" w:rsidR="0080499D" w:rsidRDefault="0080499D">
      <w:pPr>
        <w:spacing w:line="360" w:lineRule="auto"/>
      </w:pPr>
    </w:p>
    <w:p w14:paraId="346ED652" w14:textId="77777777" w:rsidR="0080499D" w:rsidRDefault="0080499D">
      <w:pPr>
        <w:spacing w:line="360" w:lineRule="auto"/>
      </w:pPr>
    </w:p>
    <w:p w14:paraId="1B20E7C6" w14:textId="77777777" w:rsidR="0080499D" w:rsidRDefault="0080499D">
      <w:pPr>
        <w:spacing w:line="360" w:lineRule="auto"/>
      </w:pPr>
    </w:p>
    <w:p w14:paraId="5868648E" w14:textId="77777777" w:rsidR="0080499D" w:rsidRDefault="0080499D">
      <w:pPr>
        <w:spacing w:line="360" w:lineRule="auto"/>
      </w:pPr>
    </w:p>
    <w:p w14:paraId="37E67C52" w14:textId="77777777" w:rsidR="0080499D" w:rsidRDefault="0080499D">
      <w:pPr>
        <w:spacing w:line="360" w:lineRule="auto"/>
      </w:pPr>
    </w:p>
    <w:p w14:paraId="203C1C60" w14:textId="77777777" w:rsidR="0080499D" w:rsidRDefault="0080499D">
      <w:pPr>
        <w:spacing w:line="360" w:lineRule="auto"/>
      </w:pPr>
    </w:p>
    <w:p w14:paraId="3D194666" w14:textId="77777777" w:rsidR="0080499D" w:rsidRDefault="0080499D">
      <w:pPr>
        <w:spacing w:line="360" w:lineRule="auto"/>
      </w:pPr>
    </w:p>
    <w:p w14:paraId="0DAE8163" w14:textId="77777777" w:rsidR="0080499D" w:rsidRDefault="0080499D">
      <w:pPr>
        <w:spacing w:line="360" w:lineRule="auto"/>
      </w:pPr>
    </w:p>
    <w:p w14:paraId="7AA66DA1" w14:textId="77777777" w:rsidR="0080499D" w:rsidRDefault="0080499D"/>
    <w:p w14:paraId="5DC8C24E" w14:textId="77777777" w:rsidR="0080499D" w:rsidRDefault="00F54D50">
      <w:pPr>
        <w:pStyle w:val="2"/>
        <w:ind w:left="502"/>
        <w:jc w:val="center"/>
      </w:pPr>
      <w:bookmarkStart w:id="0" w:name="_Toc2959522"/>
      <w:bookmarkEnd w:id="0"/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14:paraId="79D31E3F" w14:textId="77777777" w:rsidR="0080499D" w:rsidRDefault="0080499D">
      <w:pPr>
        <w:tabs>
          <w:tab w:val="right" w:leader="underscore" w:pos="8505"/>
        </w:tabs>
        <w:jc w:val="both"/>
        <w:rPr>
          <w:b/>
        </w:rPr>
      </w:pPr>
    </w:p>
    <w:p w14:paraId="333C5704" w14:textId="77777777" w:rsidR="0080499D" w:rsidRDefault="00F54D50">
      <w:pPr>
        <w:tabs>
          <w:tab w:val="right" w:leader="underscore" w:pos="8505"/>
        </w:tabs>
        <w:jc w:val="both"/>
      </w:pPr>
      <w:r>
        <w:rPr>
          <w:b/>
        </w:rPr>
        <w:t xml:space="preserve">Целью освоения дисциплины </w:t>
      </w:r>
      <w:r>
        <w:t>является приобщение студентов к высоким идеалам народного пения, освоение высокохудожественного наследия народного музыкального творчества.</w:t>
      </w:r>
    </w:p>
    <w:p w14:paraId="2CE2FF4F" w14:textId="77777777" w:rsidR="0080499D" w:rsidRDefault="00F54D50">
      <w:pPr>
        <w:tabs>
          <w:tab w:val="right" w:leader="underscore" w:pos="8505"/>
        </w:tabs>
        <w:jc w:val="both"/>
      </w:pPr>
      <w:r>
        <w:t xml:space="preserve">Самостоятельная работа по предмету «Ансамблевое пение»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1B693EC9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14:paraId="2F9A6AA1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Программой подготовки бакалавров предусмотрены: </w:t>
      </w:r>
    </w:p>
    <w:p w14:paraId="51F97283" w14:textId="3DF3B94F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>самостоятельная работа студентов по дисциплинам учебного плана, организуется преподавателем, обеспечивающим дисциплину;</w:t>
      </w:r>
    </w:p>
    <w:p w14:paraId="69AAE520" w14:textId="2B5B9343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 xml:space="preserve">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14:paraId="5C24FF26" w14:textId="77777777" w:rsidR="0080499D" w:rsidRDefault="00F54D50" w:rsidP="002E2219">
      <w:pPr>
        <w:pStyle w:val="western"/>
        <w:spacing w:beforeAutospacing="0" w:afterAutospacing="0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125D3EAE" w14:textId="77777777" w:rsidR="0080499D" w:rsidRDefault="0080499D">
      <w:pPr>
        <w:pStyle w:val="western"/>
        <w:spacing w:beforeAutospacing="0" w:afterAutospacing="0"/>
      </w:pPr>
    </w:p>
    <w:p w14:paraId="1E3A65F1" w14:textId="77777777" w:rsidR="0080499D" w:rsidRDefault="00F54D50">
      <w:pPr>
        <w:pStyle w:val="western"/>
        <w:spacing w:beforeAutospacing="0" w:afterAutospacing="0"/>
      </w:pPr>
      <w:r>
        <w:rPr>
          <w:b/>
          <w:bCs/>
        </w:rPr>
        <w:t>Цель и задачи организации самостоятельной работы</w:t>
      </w:r>
    </w:p>
    <w:p w14:paraId="41658207" w14:textId="77777777" w:rsidR="0080499D" w:rsidRDefault="00F54D50" w:rsidP="002E2219">
      <w:pPr>
        <w:pStyle w:val="western"/>
        <w:spacing w:beforeAutospacing="0" w:afterAutospacing="0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E3A1836" w14:textId="77777777" w:rsidR="0080499D" w:rsidRDefault="00F54D50">
      <w:pPr>
        <w:pStyle w:val="western"/>
        <w:spacing w:afterAutospacing="0"/>
      </w:pPr>
      <w:r>
        <w:rPr>
          <w:b/>
          <w:bCs/>
        </w:rPr>
        <w:t xml:space="preserve">Задачами самостоятельной работы студентов являются: </w:t>
      </w:r>
    </w:p>
    <w:p w14:paraId="45BFCF5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14:paraId="6A833DC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углубление и расширение теоретических знаний;</w:t>
      </w:r>
    </w:p>
    <w:p w14:paraId="47E72748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умений использовать специальную литературу; </w:t>
      </w:r>
    </w:p>
    <w:p w14:paraId="09DAE361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D51BB22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384D85A" w14:textId="7EFA4270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развитие исполнительских умений</w:t>
      </w:r>
      <w:r w:rsidR="009130E3">
        <w:t>.</w:t>
      </w:r>
    </w:p>
    <w:p w14:paraId="0A6CB5BD" w14:textId="77777777" w:rsidR="0080499D" w:rsidRDefault="00F54D50" w:rsidP="002E2219">
      <w:pPr>
        <w:pStyle w:val="western"/>
        <w:spacing w:afterAutospacing="0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выполненных творческих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0784BA41" w14:textId="77777777" w:rsidR="0080499D" w:rsidRDefault="00F54D50" w:rsidP="002E2219">
      <w:pPr>
        <w:pStyle w:val="western"/>
        <w:spacing w:beforeAutospacing="0" w:afterAutospacing="0"/>
        <w:jc w:val="both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закрепление практических навыков студента, развитие творческих способностей.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9E9F1A2" w14:textId="77777777" w:rsidR="0080499D" w:rsidRDefault="00F54D50" w:rsidP="002E2219">
      <w:pPr>
        <w:pStyle w:val="western"/>
        <w:spacing w:beforeAutospacing="0" w:afterAutospacing="0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6EE79928" w14:textId="77777777" w:rsidR="0080499D" w:rsidRDefault="00F54D50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lastRenderedPageBreak/>
        <w:t>аудиторная самостоятельная работа по дисциплине выполняется на</w:t>
      </w:r>
    </w:p>
    <w:p w14:paraId="45EB9468" w14:textId="77777777" w:rsidR="0080499D" w:rsidRDefault="00F54D50" w:rsidP="002E2219">
      <w:pPr>
        <w:pStyle w:val="western"/>
        <w:spacing w:beforeAutospacing="0" w:afterAutospacing="0"/>
        <w:jc w:val="both"/>
      </w:pPr>
      <w:r>
        <w:t>учебных занятиях, под непосредственным руководством преподавателя и по его заданию;</w:t>
      </w:r>
    </w:p>
    <w:p w14:paraId="79A943CD" w14:textId="77777777" w:rsidR="0080499D" w:rsidRDefault="00F54D50" w:rsidP="002E2219">
      <w:pPr>
        <w:pStyle w:val="ab"/>
        <w:numPr>
          <w:ilvl w:val="0"/>
          <w:numId w:val="3"/>
        </w:numPr>
        <w:spacing w:beforeAutospacing="0" w:afterAutospacing="0"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6D9B107F" w14:textId="77777777" w:rsidR="0080499D" w:rsidRDefault="00F54D50" w:rsidP="002E2219">
      <w:pPr>
        <w:pStyle w:val="western"/>
        <w:spacing w:beforeAutospacing="0" w:afterAutospacing="0"/>
        <w:jc w:val="both"/>
      </w:pPr>
      <w:r>
        <w:rPr>
          <w:u w:val="single"/>
        </w:rPr>
        <w:t>Внеаудиторная самостоятельная работа студентов</w:t>
      </w:r>
      <w: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456A380B" w14:textId="74709161" w:rsidR="001857CA" w:rsidRDefault="001857CA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>Работа с записи аутентичного фольклора и диалектной речи;</w:t>
      </w:r>
    </w:p>
    <w:p w14:paraId="16F4D511" w14:textId="402E46DF" w:rsidR="001857CA" w:rsidRDefault="001857CA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 xml:space="preserve">составление </w:t>
      </w:r>
      <w:r w:rsidRPr="00701A9C">
        <w:t>текстово-артикуляцио</w:t>
      </w:r>
      <w:r>
        <w:t>н</w:t>
      </w:r>
      <w:r w:rsidRPr="00701A9C">
        <w:t>н</w:t>
      </w:r>
      <w:r>
        <w:t>ых</w:t>
      </w:r>
      <w:r w:rsidRPr="00701A9C">
        <w:t xml:space="preserve"> расшифров</w:t>
      </w:r>
      <w:r>
        <w:t>ок;</w:t>
      </w:r>
    </w:p>
    <w:p w14:paraId="499EA333" w14:textId="1FAFD709" w:rsidR="001857CA" w:rsidRDefault="001857CA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 xml:space="preserve">расшифровка и </w:t>
      </w:r>
      <w:proofErr w:type="spellStart"/>
      <w:r>
        <w:t>нотирование</w:t>
      </w:r>
      <w:proofErr w:type="spellEnd"/>
      <w:r>
        <w:t xml:space="preserve"> песенных образцов;</w:t>
      </w:r>
    </w:p>
    <w:p w14:paraId="65E7B3F1" w14:textId="233AE084" w:rsidR="001857CA" w:rsidRDefault="001857CA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>и</w:t>
      </w:r>
      <w:r w:rsidRPr="00AC7B75">
        <w:t xml:space="preserve">зучение </w:t>
      </w:r>
      <w:r>
        <w:t>репертуарных сборников</w:t>
      </w:r>
      <w:r w:rsidRPr="00AC7B75">
        <w:t xml:space="preserve"> и методической литературы по данному предмету, а также использование учебников и пособий по русскому народному музыкальному творчеству, </w:t>
      </w:r>
      <w:proofErr w:type="spellStart"/>
      <w:r w:rsidRPr="00AC7B75">
        <w:t>хороведению</w:t>
      </w:r>
      <w:proofErr w:type="spellEnd"/>
      <w:r w:rsidRPr="00AC7B75">
        <w:t xml:space="preserve"> и методике работу с народно-певческим коллективом</w:t>
      </w:r>
      <w:r>
        <w:t>;</w:t>
      </w:r>
    </w:p>
    <w:p w14:paraId="04EF0B48" w14:textId="0963F586" w:rsidR="001857CA" w:rsidRDefault="001857CA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>посещение репетиций, мастер-классов и концертов казачьих аутентичных, фольклорно-этнографических и народно-сценических коллективом.</w:t>
      </w:r>
    </w:p>
    <w:p w14:paraId="0484A101" w14:textId="77777777" w:rsidR="0080499D" w:rsidRDefault="0080499D">
      <w:pPr>
        <w:pStyle w:val="western"/>
        <w:spacing w:beforeAutospacing="0" w:afterAutospacing="0"/>
        <w:ind w:left="720"/>
      </w:pPr>
    </w:p>
    <w:p w14:paraId="6F215E08" w14:textId="77777777" w:rsidR="0080499D" w:rsidRDefault="00F54D50">
      <w:pPr>
        <w:pStyle w:val="western"/>
        <w:spacing w:beforeAutospacing="0" w:afterAutospacing="0"/>
        <w:jc w:val="center"/>
      </w:pPr>
      <w:r>
        <w:rPr>
          <w:b/>
          <w:bCs/>
          <w:i/>
          <w:iCs/>
        </w:rPr>
        <w:t>Организация СРС</w:t>
      </w:r>
    </w:p>
    <w:p w14:paraId="0BEF2C57" w14:textId="46854EE1" w:rsidR="0080499D" w:rsidRDefault="00F54D50" w:rsidP="009130E3">
      <w:pPr>
        <w:pStyle w:val="western"/>
        <w:spacing w:beforeAutospacing="0" w:afterAutospacing="0"/>
        <w:jc w:val="both"/>
      </w:pPr>
      <w:r>
        <w:t>Методика организации самостоятельной работы студентов зависит от</w:t>
      </w:r>
      <w:r w:rsidR="002E2219">
        <w:t xml:space="preserve"> </w:t>
      </w:r>
      <w: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184B914" w14:textId="77777777" w:rsidR="0080499D" w:rsidRDefault="00F54D50" w:rsidP="009130E3">
      <w:pPr>
        <w:pStyle w:val="western"/>
        <w:spacing w:beforeAutospacing="0" w:afterAutospacing="0"/>
        <w:jc w:val="both"/>
      </w:pPr>
      <w:r>
        <w:t>Процесс организации самостоятельной работы студентов включает в себя следующие этапы:</w:t>
      </w:r>
    </w:p>
    <w:p w14:paraId="0BBD2C4E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73595F82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основной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6B200C0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работы).</w:t>
      </w:r>
    </w:p>
    <w:p w14:paraId="150B1999" w14:textId="11074395" w:rsidR="0080499D" w:rsidRPr="009130E3" w:rsidRDefault="00F54D50" w:rsidP="009130E3">
      <w:pPr>
        <w:pStyle w:val="western"/>
        <w:spacing w:beforeAutospacing="0" w:afterAutospacing="0"/>
        <w:jc w:val="both"/>
      </w:pPr>
      <w: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14:paraId="65E1ADD0" w14:textId="77777777" w:rsidR="0080499D" w:rsidRDefault="00F54D50">
      <w:pPr>
        <w:pStyle w:val="western"/>
        <w:spacing w:afterAutospacing="0"/>
        <w:jc w:val="center"/>
      </w:pPr>
      <w:r>
        <w:rPr>
          <w:b/>
          <w:bCs/>
        </w:rPr>
        <w:t>Контроль выполнения самостоятельной работы</w:t>
      </w:r>
    </w:p>
    <w:p w14:paraId="1DD5FD59" w14:textId="77777777" w:rsidR="0080499D" w:rsidRDefault="00F54D50">
      <w:pPr>
        <w:pStyle w:val="western"/>
        <w:spacing w:afterAutospacing="0"/>
      </w:pPr>
      <w: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14:paraId="5CB90405" w14:textId="77777777" w:rsidR="009130E3" w:rsidRDefault="00F54D50" w:rsidP="00523DE3">
      <w:pPr>
        <w:pStyle w:val="western"/>
        <w:spacing w:afterAutospacing="0"/>
        <w:jc w:val="both"/>
      </w:pPr>
      <w:r>
        <w:t>Форма оценки результатов работы по изучаемой дисциплине может быть различна (по усмотрению преподавателя).</w:t>
      </w:r>
    </w:p>
    <w:p w14:paraId="01640B98" w14:textId="40DC1F7D" w:rsidR="0080499D" w:rsidRDefault="00F54D50" w:rsidP="009130E3">
      <w:pPr>
        <w:pStyle w:val="western"/>
        <w:spacing w:afterAutospacing="0"/>
      </w:pPr>
      <w:r>
        <w:t>Требование к зачету</w:t>
      </w:r>
    </w:p>
    <w:p w14:paraId="211A901B" w14:textId="77777777" w:rsidR="001857CA" w:rsidRDefault="001857CA" w:rsidP="001857CA">
      <w:pPr>
        <w:jc w:val="both"/>
        <w:rPr>
          <w:b/>
          <w:i/>
        </w:rPr>
      </w:pPr>
    </w:p>
    <w:p w14:paraId="58463BB4" w14:textId="2463BB70" w:rsidR="001857CA" w:rsidRDefault="001857CA" w:rsidP="001857CA">
      <w:pPr>
        <w:jc w:val="both"/>
        <w:rPr>
          <w:b/>
          <w:i/>
        </w:rPr>
      </w:pPr>
      <w:r>
        <w:rPr>
          <w:b/>
          <w:i/>
        </w:rPr>
        <w:t>Для очной формы обучения</w:t>
      </w:r>
    </w:p>
    <w:p w14:paraId="196D3C50" w14:textId="77777777" w:rsidR="001857CA" w:rsidRDefault="001857CA" w:rsidP="001857CA">
      <w:pPr>
        <w:jc w:val="both"/>
        <w:rPr>
          <w:b/>
          <w:i/>
        </w:rPr>
      </w:pPr>
    </w:p>
    <w:p w14:paraId="7FCD6ED5" w14:textId="032FDEE4" w:rsidR="001857CA" w:rsidRPr="001857CA" w:rsidRDefault="001857CA" w:rsidP="001857CA">
      <w:pPr>
        <w:jc w:val="both"/>
        <w:rPr>
          <w:b/>
          <w:bCs/>
        </w:rPr>
      </w:pPr>
      <w:r w:rsidRPr="001857CA">
        <w:rPr>
          <w:u w:val="single"/>
        </w:rPr>
        <w:t>На зачете во 2-м семестре</w:t>
      </w:r>
      <w:r w:rsidRPr="001857CA">
        <w:t xml:space="preserve"> </w:t>
      </w:r>
      <w:r>
        <w:t>студенты должны исполнить не менее 10-ми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традици</w:t>
      </w:r>
      <w:r>
        <w:t>и</w:t>
      </w:r>
      <w:r w:rsidRPr="00AB50B4">
        <w:t xml:space="preserve"> донских казаков</w:t>
      </w:r>
      <w: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0721DEBD" w14:textId="77777777" w:rsidR="001857CA" w:rsidRDefault="001857CA" w:rsidP="001857CA">
      <w:pPr>
        <w:jc w:val="both"/>
      </w:pPr>
    </w:p>
    <w:p w14:paraId="4BB3D3E3" w14:textId="210DF06A" w:rsidR="001857CA" w:rsidRPr="001857CA" w:rsidRDefault="001857CA" w:rsidP="001857CA">
      <w:pPr>
        <w:jc w:val="both"/>
        <w:rPr>
          <w:b/>
          <w:bCs/>
        </w:rPr>
      </w:pPr>
      <w:r w:rsidRPr="001857CA">
        <w:rPr>
          <w:u w:val="single"/>
        </w:rPr>
        <w:t>На зачете с оценкой в 4-м семестре</w:t>
      </w:r>
      <w:r w:rsidRPr="001857CA">
        <w:t xml:space="preserve"> </w:t>
      </w:r>
      <w:r>
        <w:t>студенты должен исполнить не менее 10-ми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</w:t>
      </w:r>
      <w:r>
        <w:t>традиции кубанских и терских</w:t>
      </w:r>
      <w:r w:rsidRPr="00AB50B4">
        <w:t xml:space="preserve"> казаков</w:t>
      </w:r>
      <w:r>
        <w:t xml:space="preserve">; показать убедительные результаты в ансамблевом исполнении, с передачей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5725DCD5" w14:textId="77777777" w:rsidR="001857CA" w:rsidRDefault="001857CA" w:rsidP="001857CA">
      <w:pPr>
        <w:jc w:val="both"/>
      </w:pPr>
    </w:p>
    <w:p w14:paraId="6A8DAD82" w14:textId="37E6A2AB" w:rsidR="001857CA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>На з</w:t>
      </w:r>
      <w:r w:rsidR="001857CA" w:rsidRPr="00436787">
        <w:rPr>
          <w:u w:val="single"/>
        </w:rPr>
        <w:t>ачет</w:t>
      </w:r>
      <w:r w:rsidRPr="00436787">
        <w:rPr>
          <w:u w:val="single"/>
        </w:rPr>
        <w:t>е</w:t>
      </w:r>
      <w:r w:rsidR="001857CA" w:rsidRPr="00436787">
        <w:rPr>
          <w:u w:val="single"/>
        </w:rPr>
        <w:t xml:space="preserve"> с оценкой в 6-м</w:t>
      </w:r>
      <w:r w:rsidR="001857CA" w:rsidRPr="00436787">
        <w:t xml:space="preserve"> семестре </w:t>
      </w:r>
      <w:r w:rsidR="001857CA">
        <w:t>студенты долж</w:t>
      </w:r>
      <w:r>
        <w:t>ны</w:t>
      </w:r>
      <w:r w:rsidR="001857CA">
        <w:t xml:space="preserve"> исполнить не менее 5-ми произведения разных жанров, представляющих п</w:t>
      </w:r>
      <w:r w:rsidR="001857CA" w:rsidRPr="00AB50B4">
        <w:t>есенн</w:t>
      </w:r>
      <w:r w:rsidR="001857CA">
        <w:t>ые</w:t>
      </w:r>
      <w:r w:rsidR="001857CA" w:rsidRPr="00AB50B4">
        <w:t xml:space="preserve"> </w:t>
      </w:r>
      <w:r w:rsidR="001857CA">
        <w:t xml:space="preserve">традиции казаков-некрасовцев; показать убедительные результаты в ансамблевом исполнении, с передачей особенностей </w:t>
      </w:r>
      <w:r w:rsidR="001857CA" w:rsidRPr="00AB50B4">
        <w:t>мелодико-фактурного интонирования, диалектного пения и навы</w:t>
      </w:r>
      <w:r w:rsidR="001857CA">
        <w:t>ков</w:t>
      </w:r>
      <w:r w:rsidR="001857CA" w:rsidRPr="00AB50B4">
        <w:t xml:space="preserve"> освоения стилевых аранжировок.</w:t>
      </w:r>
    </w:p>
    <w:p w14:paraId="6D42E142" w14:textId="25FB47F9" w:rsidR="0080499D" w:rsidRDefault="0080499D">
      <w:pPr>
        <w:pStyle w:val="ac"/>
        <w:ind w:firstLine="0"/>
        <w:rPr>
          <w:sz w:val="24"/>
          <w:szCs w:val="24"/>
        </w:rPr>
      </w:pPr>
    </w:p>
    <w:p w14:paraId="0DE0668D" w14:textId="77777777" w:rsidR="00436787" w:rsidRDefault="00436787" w:rsidP="00436787">
      <w:pPr>
        <w:jc w:val="both"/>
        <w:rPr>
          <w:b/>
          <w:i/>
        </w:rPr>
      </w:pPr>
      <w:r>
        <w:rPr>
          <w:b/>
          <w:i/>
        </w:rPr>
        <w:t>Для заочной формы обучения</w:t>
      </w:r>
    </w:p>
    <w:p w14:paraId="74CAF880" w14:textId="77777777" w:rsidR="00436787" w:rsidRDefault="00436787" w:rsidP="00436787">
      <w:pPr>
        <w:jc w:val="both"/>
        <w:rPr>
          <w:b/>
          <w:i/>
        </w:rPr>
      </w:pPr>
    </w:p>
    <w:p w14:paraId="53DFA6B2" w14:textId="63937AC1" w:rsidR="00436787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>На зачете во 2-м семестре</w:t>
      </w:r>
      <w:r>
        <w:rPr>
          <w:b/>
          <w:bCs/>
        </w:rPr>
        <w:t xml:space="preserve"> </w:t>
      </w:r>
      <w:r>
        <w:t>студенты должны исполнить не менее 10-ми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традици</w:t>
      </w:r>
      <w:r>
        <w:t>и</w:t>
      </w:r>
      <w:r w:rsidRPr="00AB50B4">
        <w:t xml:space="preserve"> донских</w:t>
      </w:r>
      <w:r>
        <w:t xml:space="preserve"> (верховых)</w:t>
      </w:r>
      <w:r w:rsidRPr="00AB50B4">
        <w:t xml:space="preserve"> казаков</w:t>
      </w:r>
      <w:r>
        <w:t xml:space="preserve">; показать убедительные результаты в ансамблевом исполнении, с передачей региональных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460AE00B" w14:textId="77777777" w:rsidR="00436787" w:rsidRDefault="00436787" w:rsidP="00436787">
      <w:pPr>
        <w:jc w:val="both"/>
      </w:pPr>
    </w:p>
    <w:p w14:paraId="3AD35652" w14:textId="12A8C528" w:rsidR="00436787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>На зачете с оценкой в 4-м семестре</w:t>
      </w:r>
      <w:r>
        <w:rPr>
          <w:b/>
          <w:bCs/>
        </w:rPr>
        <w:t xml:space="preserve"> </w:t>
      </w:r>
      <w:r>
        <w:t>студенты должны исполнить не менее 5-ми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</w:t>
      </w:r>
      <w:r>
        <w:t xml:space="preserve">традиции кубанских </w:t>
      </w:r>
      <w:r w:rsidRPr="00AB50B4">
        <w:t>казаков</w:t>
      </w:r>
      <w:r>
        <w:t xml:space="preserve">; показать убедительные результаты в ансамблевом исполнении, с передачей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58A36958" w14:textId="77777777" w:rsidR="00436787" w:rsidRDefault="00436787" w:rsidP="00436787">
      <w:pPr>
        <w:jc w:val="both"/>
      </w:pPr>
    </w:p>
    <w:p w14:paraId="67A3AC05" w14:textId="3540F0C4" w:rsidR="00436787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 xml:space="preserve">На зачете в 5-м семестре </w:t>
      </w:r>
      <w:r w:rsidRPr="00436787">
        <w:t xml:space="preserve">студенты </w:t>
      </w:r>
      <w:r>
        <w:t>должны исполнить не менее 5-ми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</w:t>
      </w:r>
      <w:r>
        <w:t xml:space="preserve">традиции терских </w:t>
      </w:r>
      <w:r w:rsidRPr="00AB50B4">
        <w:t>казаков</w:t>
      </w:r>
      <w:r>
        <w:t xml:space="preserve">; показать убедительные результаты в ансамблевом исполнении, с передачей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110C2688" w14:textId="77777777" w:rsidR="00436787" w:rsidRDefault="00436787" w:rsidP="00436787">
      <w:pPr>
        <w:jc w:val="both"/>
      </w:pPr>
    </w:p>
    <w:p w14:paraId="147501C2" w14:textId="5114B7E0" w:rsidR="00436787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>На зачете с оценкой в 8-м семестре</w:t>
      </w:r>
      <w:r>
        <w:rPr>
          <w:b/>
          <w:bCs/>
        </w:rPr>
        <w:t xml:space="preserve"> </w:t>
      </w:r>
      <w:r>
        <w:t>студенты должны исполнить не менее 5-ми произведения разных жанров, представляющих п</w:t>
      </w:r>
      <w:r w:rsidRPr="00AB50B4">
        <w:t>есенн</w:t>
      </w:r>
      <w:r>
        <w:t>ые</w:t>
      </w:r>
      <w:r w:rsidRPr="00AB50B4">
        <w:t xml:space="preserve"> </w:t>
      </w:r>
      <w:r>
        <w:t xml:space="preserve">традиции казаков-некрасовцев; показать убедительные результаты в ансамблевом исполнении, с передачей особенностей </w:t>
      </w:r>
      <w:r w:rsidRPr="00AB50B4">
        <w:t>мелодико-фактурного интонирования, диалектного пения и навы</w:t>
      </w:r>
      <w:r>
        <w:t>ков</w:t>
      </w:r>
      <w:r w:rsidRPr="00AB50B4">
        <w:t xml:space="preserve"> освоения стилевых аранжировок.</w:t>
      </w:r>
    </w:p>
    <w:p w14:paraId="67D12F8A" w14:textId="77777777" w:rsidR="00436787" w:rsidRDefault="00436787" w:rsidP="00436787">
      <w:pPr>
        <w:jc w:val="both"/>
      </w:pPr>
    </w:p>
    <w:p w14:paraId="7618A015" w14:textId="028F7139" w:rsidR="00436787" w:rsidRPr="00436787" w:rsidRDefault="00436787" w:rsidP="00436787">
      <w:pPr>
        <w:jc w:val="both"/>
        <w:rPr>
          <w:b/>
          <w:bCs/>
        </w:rPr>
      </w:pPr>
      <w:r w:rsidRPr="00436787">
        <w:rPr>
          <w:u w:val="single"/>
        </w:rPr>
        <w:t>На зачете в 9-м семестре</w:t>
      </w:r>
      <w:r>
        <w:rPr>
          <w:b/>
          <w:bCs/>
        </w:rPr>
        <w:t xml:space="preserve"> </w:t>
      </w:r>
      <w:r>
        <w:t>студенты должны исполнить не менее 10-ми произведения разных жанров</w:t>
      </w:r>
      <w:r w:rsidRPr="003A60A3">
        <w:t xml:space="preserve">, представляющих песенные традиции </w:t>
      </w:r>
      <w:r>
        <w:t xml:space="preserve">локальных групп российского </w:t>
      </w:r>
      <w:r w:rsidRPr="003A60A3">
        <w:t>казачества; показать убедительные результаты в ансамблевом исполнении, с передачей региональных особенностей мелодико-фактурного интонирования, диалектного пения</w:t>
      </w:r>
      <w:r>
        <w:t xml:space="preserve"> и </w:t>
      </w:r>
      <w:r w:rsidRPr="003A60A3">
        <w:t>навыков освоения стилевых аранжировок</w:t>
      </w:r>
      <w:r>
        <w:t xml:space="preserve">; продемонстрировать разные формы репрезентации фольклора на сцене.  </w:t>
      </w:r>
    </w:p>
    <w:p w14:paraId="371908D6" w14:textId="77777777" w:rsidR="0080499D" w:rsidRDefault="0080499D" w:rsidP="00A56D51">
      <w:pPr>
        <w:spacing w:line="276" w:lineRule="auto"/>
        <w:jc w:val="both"/>
        <w:rPr>
          <w:lang w:eastAsia="zh-CN"/>
        </w:rPr>
      </w:pPr>
    </w:p>
    <w:p w14:paraId="5674DD8C" w14:textId="77777777" w:rsidR="0080499D" w:rsidRDefault="00F54D50" w:rsidP="00A56D51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14:paraId="5D85E26B" w14:textId="20631DE5" w:rsidR="0080499D" w:rsidRDefault="00436787" w:rsidP="00436787">
      <w:pPr>
        <w:spacing w:line="276" w:lineRule="auto"/>
        <w:jc w:val="both"/>
      </w:pPr>
      <w:r>
        <w:rPr>
          <w:lang w:eastAsia="zh-CN"/>
        </w:rPr>
        <w:t>Морозов Д.В.</w:t>
      </w:r>
    </w:p>
    <w:sectPr w:rsidR="0080499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91131"/>
    <w:multiLevelType w:val="multilevel"/>
    <w:tmpl w:val="52B69B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1" w15:restartNumberingAfterBreak="0">
    <w:nsid w:val="19E76975"/>
    <w:multiLevelType w:val="multilevel"/>
    <w:tmpl w:val="D164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1EC81CFD"/>
    <w:multiLevelType w:val="multilevel"/>
    <w:tmpl w:val="A922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7120B31"/>
    <w:multiLevelType w:val="hybridMultilevel"/>
    <w:tmpl w:val="348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94BBF"/>
    <w:multiLevelType w:val="multilevel"/>
    <w:tmpl w:val="376E09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EE3489A"/>
    <w:multiLevelType w:val="multilevel"/>
    <w:tmpl w:val="E856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5DCE616F"/>
    <w:multiLevelType w:val="multilevel"/>
    <w:tmpl w:val="36F8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7556267F"/>
    <w:multiLevelType w:val="multilevel"/>
    <w:tmpl w:val="0B7A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909578001">
    <w:abstractNumId w:val="2"/>
  </w:num>
  <w:num w:numId="2" w16cid:durableId="797795696">
    <w:abstractNumId w:val="5"/>
  </w:num>
  <w:num w:numId="3" w16cid:durableId="125317407">
    <w:abstractNumId w:val="1"/>
  </w:num>
  <w:num w:numId="4" w16cid:durableId="525796941">
    <w:abstractNumId w:val="6"/>
  </w:num>
  <w:num w:numId="5" w16cid:durableId="286468308">
    <w:abstractNumId w:val="7"/>
  </w:num>
  <w:num w:numId="6" w16cid:durableId="1861159364">
    <w:abstractNumId w:val="0"/>
  </w:num>
  <w:num w:numId="7" w16cid:durableId="1633973957">
    <w:abstractNumId w:val="4"/>
  </w:num>
  <w:num w:numId="8" w16cid:durableId="1127513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9D"/>
    <w:rsid w:val="001453BD"/>
    <w:rsid w:val="001857CA"/>
    <w:rsid w:val="002E2219"/>
    <w:rsid w:val="00436787"/>
    <w:rsid w:val="00523DE3"/>
    <w:rsid w:val="0080499D"/>
    <w:rsid w:val="009130E3"/>
    <w:rsid w:val="00A56D51"/>
    <w:rsid w:val="00E41BCF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9657"/>
  <w15:docId w15:val="{5A327AA4-09DB-4D4B-8E28-1D9C8AD8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1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E78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01B14"/>
    <w:rPr>
      <w:color w:val="0563C1" w:themeColor="hyperlink"/>
      <w:u w:val="single"/>
    </w:rPr>
  </w:style>
  <w:style w:type="character" w:customStyle="1" w:styleId="a3">
    <w:name w:val="Основной текст с отступом Знак"/>
    <w:basedOn w:val="a0"/>
    <w:qFormat/>
    <w:rsid w:val="00AE7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78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rFonts w:cs="Times New Roman"/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a4">
    <w:name w:val="Ссылка указателя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OC Heading"/>
    <w:basedOn w:val="1"/>
    <w:uiPriority w:val="39"/>
    <w:unhideWhenUsed/>
    <w:qFormat/>
    <w:rsid w:val="00801B14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801B14"/>
    <w:pPr>
      <w:spacing w:after="100"/>
      <w:ind w:left="240"/>
    </w:pPr>
  </w:style>
  <w:style w:type="paragraph" w:styleId="ab">
    <w:name w:val="Normal (Web)"/>
    <w:basedOn w:val="a"/>
    <w:semiHidden/>
    <w:unhideWhenUsed/>
    <w:qFormat/>
    <w:rsid w:val="00AE78B8"/>
    <w:pPr>
      <w:spacing w:beforeAutospacing="1" w:afterAutospacing="1"/>
    </w:pPr>
  </w:style>
  <w:style w:type="paragraph" w:styleId="ac">
    <w:name w:val="Body Text Indent"/>
    <w:basedOn w:val="a"/>
    <w:unhideWhenUsed/>
    <w:rsid w:val="00AE78B8"/>
    <w:pPr>
      <w:ind w:firstLine="567"/>
      <w:jc w:val="both"/>
    </w:pPr>
    <w:rPr>
      <w:sz w:val="20"/>
      <w:szCs w:val="20"/>
    </w:rPr>
  </w:style>
  <w:style w:type="paragraph" w:customStyle="1" w:styleId="p14">
    <w:name w:val="p14"/>
    <w:basedOn w:val="a"/>
    <w:qFormat/>
    <w:rsid w:val="00AE78B8"/>
    <w:pPr>
      <w:spacing w:beforeAutospacing="1" w:afterAutospacing="1"/>
    </w:pPr>
  </w:style>
  <w:style w:type="paragraph" w:customStyle="1" w:styleId="western">
    <w:name w:val="western"/>
    <w:basedOn w:val="a"/>
    <w:qFormat/>
    <w:rsid w:val="00AE78B8"/>
    <w:pPr>
      <w:spacing w:beforeAutospacing="1" w:afterAutospacing="1"/>
    </w:pPr>
  </w:style>
  <w:style w:type="paragraph" w:styleId="ad">
    <w:name w:val="List Paragraph"/>
    <w:basedOn w:val="a"/>
    <w:uiPriority w:val="34"/>
    <w:qFormat/>
    <w:rsid w:val="00AE78B8"/>
    <w:pPr>
      <w:ind w:left="720"/>
      <w:contextualSpacing/>
    </w:pPr>
  </w:style>
  <w:style w:type="table" w:styleId="ae">
    <w:name w:val="Table Grid"/>
    <w:basedOn w:val="a1"/>
    <w:uiPriority w:val="39"/>
    <w:rsid w:val="0080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130E3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Дмитрий Морозов</cp:lastModifiedBy>
  <cp:revision>10</cp:revision>
  <dcterms:created xsi:type="dcterms:W3CDTF">2019-03-29T11:55:00Z</dcterms:created>
  <dcterms:modified xsi:type="dcterms:W3CDTF">2024-07-02T16:02:00Z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